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12D55" w14:textId="77777777" w:rsidR="008F4796" w:rsidRPr="00957B25" w:rsidRDefault="008F4796" w:rsidP="008F4796">
      <w:pPr>
        <w:pStyle w:val="berschrift-H2"/>
        <w:rPr>
          <w:lang w:val="en-GB"/>
        </w:rPr>
      </w:pPr>
      <w:r w:rsidRPr="00957B25">
        <w:rPr>
          <w:lang w:val="en-GB"/>
        </w:rPr>
        <w:t>Rittal CS Toptec outdoor enclosure</w:t>
      </w:r>
    </w:p>
    <w:p w14:paraId="1994E262" w14:textId="3E122B31" w:rsidR="008F4796" w:rsidRPr="008F4796" w:rsidRDefault="00957B25" w:rsidP="008F4796">
      <w:pPr>
        <w:pStyle w:val="berschrift-H1"/>
        <w:rPr>
          <w:lang w:val="en-US"/>
        </w:rPr>
      </w:pPr>
      <w:r>
        <w:rPr>
          <w:lang w:val="en-US"/>
        </w:rPr>
        <w:t>Standardised</w:t>
      </w:r>
      <w:r w:rsidR="008F4796" w:rsidRPr="008F4796">
        <w:rPr>
          <w:lang w:val="en-US"/>
        </w:rPr>
        <w:t xml:space="preserve">, </w:t>
      </w:r>
      <w:r>
        <w:rPr>
          <w:lang w:val="en-US"/>
        </w:rPr>
        <w:t>twin-walled</w:t>
      </w:r>
      <w:r w:rsidR="008F4796" w:rsidRPr="008F4796">
        <w:rPr>
          <w:lang w:val="en-US"/>
        </w:rPr>
        <w:t xml:space="preserve"> and bayable</w:t>
      </w:r>
    </w:p>
    <w:p w14:paraId="7FBD8E88" w14:textId="29C6695A" w:rsidR="008F4796" w:rsidRPr="008F4796" w:rsidRDefault="008F4796" w:rsidP="008F4796">
      <w:pPr>
        <w:pStyle w:val="Ort-Datum"/>
        <w:rPr>
          <w:lang w:val="en-US"/>
        </w:rPr>
      </w:pPr>
      <w:proofErr w:type="spellStart"/>
      <w:r w:rsidRPr="008F4796">
        <w:rPr>
          <w:lang w:val="en-US"/>
        </w:rPr>
        <w:t>Herborn</w:t>
      </w:r>
      <w:proofErr w:type="spellEnd"/>
      <w:r w:rsidR="00554BF7">
        <w:rPr>
          <w:lang w:val="en-US"/>
        </w:rPr>
        <w:t>/Hannover</w:t>
      </w:r>
      <w:r w:rsidRPr="008F4796">
        <w:rPr>
          <w:lang w:val="en-US"/>
        </w:rPr>
        <w:t>, 2024</w:t>
      </w:r>
      <w:r w:rsidR="007841CC">
        <w:rPr>
          <w:lang w:val="en-US"/>
        </w:rPr>
        <w:t>-04-23</w:t>
      </w:r>
    </w:p>
    <w:p w14:paraId="2611FBCE" w14:textId="6AED0B50" w:rsidR="008F4796" w:rsidRPr="008F4796" w:rsidRDefault="008F4796" w:rsidP="008F4796">
      <w:pPr>
        <w:pStyle w:val="Copytext-Intro"/>
        <w:rPr>
          <w:lang w:val="en-US"/>
        </w:rPr>
      </w:pPr>
      <w:r w:rsidRPr="008F4796">
        <w:rPr>
          <w:lang w:val="en-US"/>
        </w:rPr>
        <w:t xml:space="preserve">Changing requirements demand fast and straightforward solutions – that also applies to the installation of outdoor enclosures. The evolution of the Rittal </w:t>
      </w:r>
      <w:r w:rsidR="00957B25">
        <w:rPr>
          <w:lang w:val="en-US"/>
        </w:rPr>
        <w:t>CS</w:t>
      </w:r>
      <w:r w:rsidRPr="008F4796">
        <w:rPr>
          <w:lang w:val="en-US"/>
        </w:rPr>
        <w:t xml:space="preserve"> Toptec range now standardises the principle of Rittal large enclosures with the simple bayed design of </w:t>
      </w:r>
      <w:r w:rsidR="00957B25">
        <w:rPr>
          <w:lang w:val="en-US"/>
        </w:rPr>
        <w:t>twin-walled</w:t>
      </w:r>
      <w:r w:rsidRPr="008F4796">
        <w:rPr>
          <w:lang w:val="en-US"/>
        </w:rPr>
        <w:t xml:space="preserve"> outdoor enclosures. With convincing benefits: plant manufacturers benefit from fast availability, versatile expansion options, and flexible on-site installation.</w:t>
      </w:r>
    </w:p>
    <w:p w14:paraId="1AF5E62E" w14:textId="26B56D43" w:rsidR="008F4796" w:rsidRPr="008F4796" w:rsidRDefault="008F4796" w:rsidP="008F4796">
      <w:pPr>
        <w:pStyle w:val="Copytext"/>
        <w:rPr>
          <w:color w:val="auto"/>
          <w:lang w:val="en-US"/>
        </w:rPr>
      </w:pPr>
      <w:r w:rsidRPr="008F4796">
        <w:rPr>
          <w:color w:val="auto"/>
          <w:lang w:val="en-US"/>
        </w:rPr>
        <w:t xml:space="preserve">In the past, special designs were generally the means of choice when plant manufacturers were looking for a </w:t>
      </w:r>
      <w:r w:rsidR="00957B25">
        <w:rPr>
          <w:color w:val="auto"/>
          <w:lang w:val="en-US"/>
        </w:rPr>
        <w:t>twin-walled</w:t>
      </w:r>
      <w:r w:rsidRPr="008F4796">
        <w:rPr>
          <w:color w:val="auto"/>
          <w:lang w:val="en-US"/>
        </w:rPr>
        <w:t xml:space="preserve"> and very wide outdoor enclosure. With correspondingly negative consequences: high costs, long delivery times, and complex installation. Rittal now offers a solution to this with the evolution of its CS Toptec outdoor enclosure. In doing so, the manufacturer has transferred the principle of its bayed enclosures to </w:t>
      </w:r>
      <w:r w:rsidR="00957B25">
        <w:rPr>
          <w:color w:val="auto"/>
          <w:lang w:val="en-US"/>
        </w:rPr>
        <w:t>twin-walled</w:t>
      </w:r>
      <w:r w:rsidRPr="008F4796">
        <w:rPr>
          <w:color w:val="auto"/>
          <w:lang w:val="en-US"/>
        </w:rPr>
        <w:t xml:space="preserve"> outdoor enclosures. They are now being </w:t>
      </w:r>
      <w:r w:rsidR="00957B25">
        <w:rPr>
          <w:color w:val="auto"/>
          <w:lang w:val="en-US"/>
        </w:rPr>
        <w:t>volume-produced</w:t>
      </w:r>
      <w:r w:rsidRPr="008F4796">
        <w:rPr>
          <w:color w:val="auto"/>
          <w:lang w:val="en-US"/>
        </w:rPr>
        <w:t xml:space="preserve"> and so are available ex-stock in widths of 600 and 800 mm, depths of 600 and 800 mm, and heights of 1,200, 1,600, 1,800 and 2,000 mm – optionally with a cut-out for a cooling unit. Thus, instead of opting for a single wide and heavy enclosure, plant manufacturers can select two or more slim individual enclosures and also further add to them at any time later on. This </w:t>
      </w:r>
      <w:r w:rsidR="004819A6">
        <w:rPr>
          <w:color w:val="auto"/>
          <w:lang w:val="en-US"/>
        </w:rPr>
        <w:t>gives</w:t>
      </w:r>
      <w:r w:rsidRPr="008F4796">
        <w:rPr>
          <w:color w:val="auto"/>
          <w:lang w:val="en-US"/>
        </w:rPr>
        <w:t xml:space="preserve"> them greater flexibility, simplifying logistics as well as installation </w:t>
      </w:r>
      <w:r w:rsidR="004819A6">
        <w:rPr>
          <w:color w:val="auto"/>
          <w:lang w:val="en-US"/>
        </w:rPr>
        <w:t>on-site</w:t>
      </w:r>
      <w:r w:rsidRPr="008F4796">
        <w:rPr>
          <w:color w:val="auto"/>
          <w:lang w:val="en-US"/>
        </w:rPr>
        <w:t xml:space="preserve">. </w:t>
      </w:r>
    </w:p>
    <w:p w14:paraId="668C2C1B" w14:textId="77777777" w:rsidR="008F4796" w:rsidRPr="008F4796" w:rsidRDefault="008F4796" w:rsidP="008F4796">
      <w:pPr>
        <w:pStyle w:val="Copytext"/>
        <w:rPr>
          <w:lang w:val="en-US"/>
        </w:rPr>
      </w:pPr>
    </w:p>
    <w:p w14:paraId="2A84E6E5" w14:textId="56522CB6" w:rsidR="008F4796" w:rsidRPr="008F4796" w:rsidRDefault="008F4796" w:rsidP="008F4796">
      <w:pPr>
        <w:pStyle w:val="Copytext"/>
        <w:rPr>
          <w:lang w:val="en-US"/>
        </w:rPr>
      </w:pPr>
      <w:r w:rsidRPr="008F4796">
        <w:rPr>
          <w:lang w:val="en-US"/>
        </w:rPr>
        <w:t>Delivery times are significantly shorter –</w:t>
      </w:r>
      <w:r w:rsidR="00FF67DC">
        <w:rPr>
          <w:lang w:val="en-US"/>
        </w:rPr>
        <w:t xml:space="preserve"> </w:t>
      </w:r>
      <w:r w:rsidRPr="008F4796">
        <w:rPr>
          <w:lang w:val="en-US"/>
        </w:rPr>
        <w:t>Rittal</w:t>
      </w:r>
      <w:r w:rsidR="00FF67DC">
        <w:rPr>
          <w:lang w:val="en-US"/>
        </w:rPr>
        <w:t>’</w:t>
      </w:r>
      <w:r w:rsidRPr="008F4796">
        <w:rPr>
          <w:lang w:val="en-US"/>
        </w:rPr>
        <w:t>s 24- or 48-hour delivery promise also applies to the CS Toptec. Plant manufacturers can, therefore, respond immediately to changing requirements without having to take into account lengthy planning, design and production delays.</w:t>
      </w:r>
    </w:p>
    <w:p w14:paraId="479AA5EC" w14:textId="77777777" w:rsidR="008F4796" w:rsidRPr="00957B25" w:rsidRDefault="008F4796" w:rsidP="008F4796">
      <w:pPr>
        <w:pStyle w:val="Copytext-Zwischenberschrift"/>
        <w:rPr>
          <w:spacing w:val="-5"/>
          <w:lang w:val="en-GB"/>
        </w:rPr>
      </w:pPr>
      <w:r w:rsidRPr="00957B25">
        <w:rPr>
          <w:lang w:val="en-GB"/>
        </w:rPr>
        <w:t>Maximum flexibility ex-stock</w:t>
      </w:r>
    </w:p>
    <w:p w14:paraId="12DC3A8F" w14:textId="288ABA9F" w:rsidR="008F4796" w:rsidRPr="008F4796" w:rsidRDefault="008F4796" w:rsidP="008F4796">
      <w:pPr>
        <w:pStyle w:val="Copytext"/>
        <w:rPr>
          <w:lang w:val="en-US"/>
        </w:rPr>
      </w:pPr>
      <w:r w:rsidRPr="008F4796">
        <w:rPr>
          <w:lang w:val="en-US"/>
        </w:rPr>
        <w:t xml:space="preserve">Rittal is focusing in particular on the diverse expansion </w:t>
      </w:r>
      <w:r w:rsidR="006A1140">
        <w:rPr>
          <w:lang w:val="en-US"/>
        </w:rPr>
        <w:t>options</w:t>
      </w:r>
      <w:r w:rsidRPr="008F4796">
        <w:rPr>
          <w:lang w:val="en-US"/>
        </w:rPr>
        <w:t xml:space="preserve"> of the enclosures by the use of an extensive range of system accessories and versatile installation on site. Technical work on site is kept to a minimum by the straightforward bayed design of the enclosures. Door hinges can also be independently changed </w:t>
      </w:r>
      <w:r w:rsidR="004819A6">
        <w:rPr>
          <w:lang w:val="en-US"/>
        </w:rPr>
        <w:t>on-site</w:t>
      </w:r>
      <w:r w:rsidRPr="008F4796">
        <w:rPr>
          <w:lang w:val="en-US"/>
        </w:rPr>
        <w:t xml:space="preserve"> if required. </w:t>
      </w:r>
      <w:r w:rsidRPr="008F4796">
        <w:rPr>
          <w:lang w:val="en-US"/>
        </w:rPr>
        <w:lastRenderedPageBreak/>
        <w:t>As Rittal also supplies a wide range of custom-fit outdoor cooling solutions, such as the</w:t>
      </w:r>
      <w:r w:rsidRPr="008F4796">
        <w:rPr>
          <w:color w:val="auto"/>
          <w:lang w:val="en-US"/>
        </w:rPr>
        <w:t xml:space="preserve"> Blue e+ outdoor cooling units</w:t>
      </w:r>
      <w:r w:rsidRPr="008F4796">
        <w:rPr>
          <w:lang w:val="en-US"/>
        </w:rPr>
        <w:t>, appropriately prepared enclosures can be ordered.</w:t>
      </w:r>
    </w:p>
    <w:p w14:paraId="25BF420A" w14:textId="77777777" w:rsidR="008F4796" w:rsidRPr="008F4796" w:rsidRDefault="008F4796" w:rsidP="008F4796">
      <w:pPr>
        <w:pStyle w:val="Copytext"/>
        <w:rPr>
          <w:lang w:val="en-US"/>
        </w:rPr>
      </w:pPr>
    </w:p>
    <w:p w14:paraId="3555350D" w14:textId="77777777" w:rsidR="008F4796" w:rsidRPr="008F4796" w:rsidRDefault="008F4796" w:rsidP="008F4796">
      <w:pPr>
        <w:pStyle w:val="Copytext"/>
        <w:rPr>
          <w:lang w:val="en-US"/>
        </w:rPr>
      </w:pPr>
      <w:r w:rsidRPr="008F4796">
        <w:rPr>
          <w:lang w:val="en-US"/>
        </w:rPr>
        <w:t>Thanks to their durability and modular design, Rittal outdoor enclosures also ensure the sustainable use of resources and low total cost of ownership throughout the product's service life.</w:t>
      </w:r>
    </w:p>
    <w:p w14:paraId="20E10F23" w14:textId="77777777" w:rsidR="008F4796" w:rsidRPr="008F4796" w:rsidRDefault="008F4796" w:rsidP="008F4796">
      <w:pPr>
        <w:pStyle w:val="Copytext-Zwischenberschrift"/>
        <w:rPr>
          <w:spacing w:val="-5"/>
          <w:lang w:val="en-US"/>
        </w:rPr>
      </w:pPr>
      <w:r w:rsidRPr="008F4796">
        <w:rPr>
          <w:lang w:val="en-US"/>
        </w:rPr>
        <w:t>Digital wiring plan pocket always to hand</w:t>
      </w:r>
    </w:p>
    <w:p w14:paraId="750E7C44" w14:textId="50376320" w:rsidR="008F4796" w:rsidRPr="008F4796" w:rsidRDefault="008F4796" w:rsidP="008F4796">
      <w:pPr>
        <w:pStyle w:val="Copytext"/>
        <w:rPr>
          <w:lang w:val="en-US"/>
        </w:rPr>
      </w:pPr>
      <w:r w:rsidRPr="008F4796">
        <w:rPr>
          <w:lang w:val="en-US"/>
        </w:rPr>
        <w:t xml:space="preserve">The paperless ePOCKET </w:t>
      </w:r>
      <w:r w:rsidR="00E43F33">
        <w:rPr>
          <w:lang w:val="en-US"/>
        </w:rPr>
        <w:t>equipment and system</w:t>
      </w:r>
      <w:r w:rsidRPr="008F4796">
        <w:rPr>
          <w:lang w:val="en-US"/>
        </w:rPr>
        <w:t xml:space="preserve"> documentation ensures up-to-date access to all key information. As with every Rittal enclosure, this digital wiring plan pocket is also integrated into the CS Toptec, giving customers easy access via the Eplan Cloud. Inspections and information exchange can thus be carried out quickly and efficiently.</w:t>
      </w:r>
    </w:p>
    <w:p w14:paraId="47C232A4" w14:textId="77777777" w:rsidR="008F4796" w:rsidRPr="008F4796" w:rsidRDefault="008F4796" w:rsidP="008F4796">
      <w:pPr>
        <w:pStyle w:val="Copytext"/>
        <w:rPr>
          <w:lang w:val="en-US"/>
        </w:rPr>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8F4796" w:rsidRPr="00D2409E" w14:paraId="4CBA2F8F" w14:textId="77777777" w:rsidTr="00706E87">
        <w:trPr>
          <w:trHeight w:hRule="exact" w:val="2494"/>
        </w:trPr>
        <w:tc>
          <w:tcPr>
            <w:tcW w:w="3685" w:type="dxa"/>
            <w:tcMar>
              <w:left w:w="0" w:type="dxa"/>
              <w:right w:w="0" w:type="dxa"/>
            </w:tcMar>
            <w:vAlign w:val="bottom"/>
          </w:tcPr>
          <w:p w14:paraId="4BEEC05A" w14:textId="77777777" w:rsidR="008F4796" w:rsidRPr="00706F60" w:rsidRDefault="008F4796" w:rsidP="00706E87">
            <w:pPr>
              <w:pStyle w:val="Bu-Bildanker"/>
            </w:pPr>
            <w:r>
              <w:rPr>
                <w:noProof/>
                <w:lang w:val="de-DE"/>
              </w:rPr>
              <w:drawing>
                <wp:inline distT="0" distB="0" distL="0" distR="0" wp14:anchorId="7131207A" wp14:editId="04B7D5DF">
                  <wp:extent cx="1742899" cy="15430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758537" cy="1556895"/>
                          </a:xfrm>
                          <a:prstGeom prst="rect">
                            <a:avLst/>
                          </a:prstGeom>
                        </pic:spPr>
                      </pic:pic>
                    </a:graphicData>
                  </a:graphic>
                </wp:inline>
              </w:drawing>
            </w:r>
          </w:p>
        </w:tc>
        <w:tc>
          <w:tcPr>
            <w:tcW w:w="283" w:type="dxa"/>
            <w:tcMar>
              <w:left w:w="0" w:type="dxa"/>
              <w:right w:w="0" w:type="dxa"/>
            </w:tcMar>
            <w:vAlign w:val="bottom"/>
          </w:tcPr>
          <w:p w14:paraId="21562CEE" w14:textId="77777777" w:rsidR="008F4796" w:rsidRPr="00706F60" w:rsidRDefault="008F4796" w:rsidP="00706E87">
            <w:pPr>
              <w:pStyle w:val="Bu-Bildanker"/>
              <w:rPr>
                <w:lang w:val="de-DE"/>
              </w:rPr>
            </w:pPr>
          </w:p>
        </w:tc>
        <w:tc>
          <w:tcPr>
            <w:tcW w:w="3685" w:type="dxa"/>
            <w:tcMar>
              <w:left w:w="0" w:type="dxa"/>
              <w:right w:w="0" w:type="dxa"/>
            </w:tcMar>
          </w:tcPr>
          <w:p w14:paraId="020674C4" w14:textId="77777777" w:rsidR="008F4796" w:rsidRPr="00706F60" w:rsidRDefault="008F4796" w:rsidP="00706E87">
            <w:pPr>
              <w:pStyle w:val="Bu-Bildanker"/>
              <w:rPr>
                <w:lang w:val="de-DE"/>
              </w:rPr>
            </w:pPr>
          </w:p>
        </w:tc>
      </w:tr>
      <w:tr w:rsidR="008F4796" w:rsidRPr="00554BF7" w14:paraId="48E76C43" w14:textId="77777777" w:rsidTr="00706E87">
        <w:tc>
          <w:tcPr>
            <w:tcW w:w="3685" w:type="dxa"/>
            <w:tcMar>
              <w:left w:w="0" w:type="dxa"/>
              <w:right w:w="0" w:type="dxa"/>
            </w:tcMar>
          </w:tcPr>
          <w:p w14:paraId="1DBF6F2C" w14:textId="7243CE0A" w:rsidR="008F4796" w:rsidRPr="008F4796" w:rsidRDefault="008F4796" w:rsidP="00706E87">
            <w:pPr>
              <w:pStyle w:val="BU-Head"/>
              <w:rPr>
                <w:lang w:val="en-US"/>
              </w:rPr>
            </w:pPr>
            <w:r w:rsidRPr="008F4796">
              <w:rPr>
                <w:lang w:val="en-US"/>
              </w:rPr>
              <w:t>Caption</w:t>
            </w:r>
            <w:r w:rsidR="006A2940">
              <w:rPr>
                <w:lang w:val="en-US"/>
              </w:rPr>
              <w:t xml:space="preserve"> Image 1:</w:t>
            </w:r>
          </w:p>
          <w:p w14:paraId="5418BCE1" w14:textId="7D784670" w:rsidR="008F4796" w:rsidRPr="008F4796" w:rsidRDefault="008F4796" w:rsidP="00706E87">
            <w:pPr>
              <w:pStyle w:val="BU"/>
              <w:rPr>
                <w:spacing w:val="-5"/>
                <w:lang w:val="en-US"/>
              </w:rPr>
            </w:pPr>
            <w:r w:rsidRPr="008F4796">
              <w:rPr>
                <w:lang w:val="en-US"/>
              </w:rPr>
              <w:t>Series production and the individual expansion options of the bayable CS Toptec go hand in hand with a host of new benefits, particularly in terms of delivery time and flexibility.</w:t>
            </w:r>
          </w:p>
        </w:tc>
        <w:tc>
          <w:tcPr>
            <w:tcW w:w="283" w:type="dxa"/>
            <w:tcMar>
              <w:left w:w="0" w:type="dxa"/>
              <w:right w:w="0" w:type="dxa"/>
            </w:tcMar>
          </w:tcPr>
          <w:p w14:paraId="5412F208" w14:textId="77777777" w:rsidR="008F4796" w:rsidRPr="008F4796" w:rsidRDefault="008F4796" w:rsidP="00706E87">
            <w:pPr>
              <w:pStyle w:val="Copytext"/>
              <w:rPr>
                <w:lang w:val="en-US"/>
              </w:rPr>
            </w:pPr>
          </w:p>
        </w:tc>
        <w:tc>
          <w:tcPr>
            <w:tcW w:w="3685" w:type="dxa"/>
            <w:tcMar>
              <w:left w:w="0" w:type="dxa"/>
              <w:right w:w="0" w:type="dxa"/>
            </w:tcMar>
          </w:tcPr>
          <w:p w14:paraId="75DC0521" w14:textId="77777777" w:rsidR="008F4796" w:rsidRPr="008F4796" w:rsidRDefault="008F4796" w:rsidP="00706E87">
            <w:pPr>
              <w:pStyle w:val="BU-Head"/>
              <w:rPr>
                <w:lang w:val="en-US"/>
              </w:rPr>
            </w:pPr>
          </w:p>
          <w:p w14:paraId="14BDB63B" w14:textId="77777777" w:rsidR="008F4796" w:rsidRPr="008F4796" w:rsidRDefault="008F4796" w:rsidP="00706E87">
            <w:pPr>
              <w:pStyle w:val="BU"/>
              <w:rPr>
                <w:lang w:val="en-US"/>
              </w:rPr>
            </w:pPr>
          </w:p>
          <w:p w14:paraId="4D04B6D8" w14:textId="77777777" w:rsidR="008F4796" w:rsidRPr="008F4796" w:rsidRDefault="008F4796" w:rsidP="00706E87">
            <w:pPr>
              <w:pStyle w:val="BU"/>
              <w:rPr>
                <w:lang w:val="en-US"/>
              </w:rPr>
            </w:pPr>
          </w:p>
        </w:tc>
      </w:tr>
    </w:tbl>
    <w:p w14:paraId="0C70AA0C" w14:textId="77777777" w:rsidR="00D80B69" w:rsidRPr="008F4796" w:rsidRDefault="00D80B69" w:rsidP="00D80B69">
      <w:pPr>
        <w:pStyle w:val="BU"/>
        <w:rPr>
          <w:lang w:val="en-US"/>
        </w:rPr>
      </w:pPr>
    </w:p>
    <w:p w14:paraId="77887025" w14:textId="3BEF0F0F" w:rsidR="00D2409E" w:rsidRPr="00770261" w:rsidRDefault="004839D0" w:rsidP="00D80B69">
      <w:pPr>
        <w:pStyle w:val="BU"/>
        <w:rPr>
          <w:lang w:val="en-GB"/>
        </w:rPr>
      </w:pPr>
      <w:r w:rsidRPr="004839D0">
        <w:rPr>
          <w:lang w:val="en-GB"/>
        </w:rPr>
        <w:t xml:space="preserve">May be reproduced free of charge. Please name Rittal GmbH &amp; Co. </w:t>
      </w:r>
      <w:r w:rsidRPr="00770261">
        <w:rPr>
          <w:lang w:val="en-GB"/>
        </w:rPr>
        <w:t xml:space="preserve">KG </w:t>
      </w:r>
      <w:r w:rsidRPr="004839D0">
        <w:rPr>
          <w:lang w:val="en-GB"/>
        </w:rPr>
        <w:t>as source.</w:t>
      </w:r>
    </w:p>
    <w:p w14:paraId="48433341" w14:textId="77777777" w:rsidR="00C40907" w:rsidRPr="00770261" w:rsidRDefault="00C40907" w:rsidP="00D80B69">
      <w:pPr>
        <w:pStyle w:val="Unternehmensportrait-H2"/>
        <w:rPr>
          <w:sz w:val="20"/>
          <w:lang w:val="en-GB"/>
        </w:rPr>
      </w:pPr>
      <w:r w:rsidRPr="00770261">
        <w:rPr>
          <w:lang w:val="en-GB"/>
        </w:rPr>
        <w:br w:type="page"/>
      </w:r>
    </w:p>
    <w:p w14:paraId="5512201A" w14:textId="1FD89145" w:rsidR="0030636B" w:rsidRPr="00770261" w:rsidRDefault="00D80B69" w:rsidP="00D80B69">
      <w:pPr>
        <w:pStyle w:val="Unternehmensportrait-H1"/>
        <w:rPr>
          <w:lang w:val="en-GB"/>
        </w:rPr>
      </w:pPr>
      <w:r w:rsidRPr="00770261">
        <w:rPr>
          <w:lang w:val="en-GB"/>
        </w:rPr>
        <w:lastRenderedPageBreak/>
        <w:t>Rittal</w:t>
      </w:r>
    </w:p>
    <w:p w14:paraId="336656F8" w14:textId="77777777" w:rsidR="00C707D4" w:rsidRPr="00770261" w:rsidRDefault="00C707D4" w:rsidP="00D80B69">
      <w:pPr>
        <w:pStyle w:val="Unternehmensportrait-Linie"/>
        <w:rPr>
          <w:lang w:val="en-GB"/>
        </w:rPr>
      </w:pPr>
    </w:p>
    <w:p w14:paraId="2351F908"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Rittal is a leading global supplier of enclosure systems, automation and infrastructure with its industrial, IT, energy and power, cooling and service units. Rittal products and solutions are used in over 90% of global industries – standardised, customised, and always of the very best quality.</w:t>
      </w:r>
    </w:p>
    <w:p w14:paraId="1ACB5BAF"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Our approach and methodology: Rittal, Rittal Software Systems (Eplan, Cideon and German Edge Cloud) and Rittal Automation Systems (RAS, Ehrt, Alfra) combine their hardware and software expertise to streamline, optimise and digitalise processes across the entire value chain for our customers including their IT infrastructure – from control and switchgear construction, machine building to factory operators or the energy sector.</w:t>
      </w:r>
    </w:p>
    <w:p w14:paraId="06890FC3"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Our delivery promise: Rittal standard products are delivered in Germany within 24 hours, and within 48 hours throughout Europe.</w:t>
      </w:r>
    </w:p>
    <w:p w14:paraId="532E4E62"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Customer focus</w:t>
      </w:r>
    </w:p>
    <w:p w14:paraId="3281D554"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Improving efficiency and increasing productivity through automation and digitalisation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speciality and field of competence.</w:t>
      </w:r>
    </w:p>
    <w:p w14:paraId="39E1B52F"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Eplan and Rittal are driving the development of the digital automation twin, making data accessible and useable in operations as well. Cideon is improving data consistency in the digital product twin context with its CAD/CAM, PDM/PLM and product configuration expertise. German Edge Cloud’s ONCITE Digital Production System (DPS) makes production process data transparent, enabling it to be optimised – right through to energy management using digital production twins.</w:t>
      </w:r>
    </w:p>
    <w:p w14:paraId="22F0925C"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Sustainability</w:t>
      </w:r>
    </w:p>
    <w:p w14:paraId="022B9570"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p>
    <w:p w14:paraId="5D109E23" w14:textId="77777777" w:rsidR="00770261" w:rsidRPr="00770261" w:rsidRDefault="00770261" w:rsidP="00770261">
      <w:pPr>
        <w:widowControl/>
        <w:kinsoku w:val="0"/>
        <w:overflowPunct w:val="0"/>
        <w:autoSpaceDE/>
        <w:autoSpaceDN/>
        <w:adjustRightInd/>
        <w:spacing w:before="200" w:line="200" w:lineRule="exact"/>
        <w:ind w:right="2098"/>
        <w:rPr>
          <w:b/>
          <w:bCs/>
          <w:color w:val="000000" w:themeColor="text1"/>
          <w:sz w:val="16"/>
          <w:szCs w:val="28"/>
          <w:lang w:val="en-GB"/>
        </w:rPr>
      </w:pPr>
      <w:r w:rsidRPr="00770261">
        <w:rPr>
          <w:b/>
          <w:bCs/>
          <w:color w:val="000000" w:themeColor="text1"/>
          <w:sz w:val="16"/>
          <w:szCs w:val="28"/>
          <w:lang w:val="en-GB"/>
        </w:rPr>
        <w:t>Family business and global player</w:t>
      </w:r>
    </w:p>
    <w:p w14:paraId="618F8440" w14:textId="77777777" w:rsidR="00770261" w:rsidRPr="00770261" w:rsidRDefault="00770261" w:rsidP="00770261">
      <w:pPr>
        <w:widowControl/>
        <w:kinsoku w:val="0"/>
        <w:overflowPunct w:val="0"/>
        <w:autoSpaceDE/>
        <w:autoSpaceDN/>
        <w:adjustRightInd/>
        <w:spacing w:after="200" w:line="200" w:lineRule="exact"/>
        <w:ind w:right="2098"/>
        <w:rPr>
          <w:bCs/>
          <w:color w:val="000000" w:themeColor="text1"/>
          <w:sz w:val="16"/>
          <w:szCs w:val="20"/>
          <w:lang w:val="en-GB"/>
        </w:rPr>
      </w:pPr>
      <w:r w:rsidRPr="00770261">
        <w:rPr>
          <w:bCs/>
          <w:color w:val="000000" w:themeColor="text1"/>
          <w:sz w:val="16"/>
          <w:szCs w:val="20"/>
          <w:lang w:val="en-GB"/>
        </w:rPr>
        <w:t>Founded in 1961, Rittal is the largest company in the owner-operated Friedhelm Loh Group. The group operates worldwide, with more than 12 production sites and over 95 international subsidiaries. It has more than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59D16C6E" w14:textId="77777777" w:rsidR="00770261" w:rsidRPr="00770261" w:rsidRDefault="00770261" w:rsidP="00770261">
      <w:pPr>
        <w:widowControl/>
        <w:kinsoku w:val="0"/>
        <w:overflowPunct w:val="0"/>
        <w:autoSpaceDE/>
        <w:autoSpaceDN/>
        <w:adjustRightInd/>
        <w:spacing w:line="200" w:lineRule="exact"/>
        <w:ind w:right="2098"/>
        <w:rPr>
          <w:bCs/>
          <w:color w:val="000000" w:themeColor="text1"/>
          <w:sz w:val="16"/>
          <w:szCs w:val="20"/>
          <w:lang w:val="en-GB"/>
        </w:rPr>
      </w:pPr>
      <w:r w:rsidRPr="00770261">
        <w:rPr>
          <w:bCs/>
          <w:color w:val="000000" w:themeColor="text1"/>
          <w:sz w:val="16"/>
          <w:szCs w:val="20"/>
          <w:lang w:val="en-GB"/>
        </w:rPr>
        <w:t xml:space="preserve">For more information, visit </w:t>
      </w:r>
      <w:hyperlink r:id="rId11" w:history="1">
        <w:r w:rsidRPr="00770261">
          <w:rPr>
            <w:bCs/>
            <w:color w:val="000000" w:themeColor="text1"/>
            <w:sz w:val="16"/>
            <w:szCs w:val="20"/>
            <w:lang w:val="en-GB"/>
          </w:rPr>
          <w:t>www.rittal.com</w:t>
        </w:r>
      </w:hyperlink>
      <w:r w:rsidRPr="00770261">
        <w:rPr>
          <w:bCs/>
          <w:color w:val="000000" w:themeColor="text1"/>
          <w:sz w:val="16"/>
          <w:szCs w:val="20"/>
          <w:lang w:val="en-GB"/>
        </w:rPr>
        <w:t xml:space="preserve"> and </w:t>
      </w:r>
      <w:hyperlink r:id="rId12" w:history="1">
        <w:r w:rsidRPr="00770261">
          <w:rPr>
            <w:bCs/>
            <w:color w:val="000000" w:themeColor="text1"/>
            <w:sz w:val="16"/>
            <w:szCs w:val="20"/>
            <w:lang w:val="en-GB"/>
          </w:rPr>
          <w:t>www.friedhelm-loh-group.com</w:t>
        </w:r>
      </w:hyperlink>
      <w:r w:rsidRPr="00770261">
        <w:rPr>
          <w:bCs/>
          <w:color w:val="000000" w:themeColor="text1"/>
          <w:sz w:val="16"/>
          <w:szCs w:val="20"/>
          <w:lang w:val="en-GB"/>
        </w:rPr>
        <w:t>.</w:t>
      </w:r>
    </w:p>
    <w:p w14:paraId="5239A85A" w14:textId="77777777" w:rsidR="00770261" w:rsidRPr="00770261" w:rsidRDefault="00770261" w:rsidP="00770261">
      <w:pPr>
        <w:widowControl/>
        <w:pBdr>
          <w:bottom w:val="single" w:sz="4" w:space="0" w:color="auto"/>
        </w:pBdr>
        <w:kinsoku w:val="0"/>
        <w:overflowPunct w:val="0"/>
        <w:autoSpaceDE/>
        <w:autoSpaceDN/>
        <w:adjustRightInd/>
        <w:spacing w:after="120" w:line="160" w:lineRule="exact"/>
        <w:ind w:left="28" w:right="2098"/>
        <w:rPr>
          <w:bCs/>
          <w:noProof/>
          <w:color w:val="000000" w:themeColor="text1"/>
          <w:sz w:val="16"/>
          <w:szCs w:val="16"/>
          <w:lang w:val="en-GB"/>
        </w:rPr>
      </w:pPr>
    </w:p>
    <w:p w14:paraId="50DFA63C" w14:textId="77777777" w:rsidR="0030636B" w:rsidRPr="00770261" w:rsidRDefault="0030636B" w:rsidP="00D80B69">
      <w:pPr>
        <w:pStyle w:val="Unternehmensportrait"/>
        <w:jc w:val="left"/>
        <w:rPr>
          <w:lang w:val="en-GB"/>
        </w:rPr>
      </w:pPr>
    </w:p>
    <w:p w14:paraId="2EF92E8E" w14:textId="0702EC2B" w:rsidR="009E3CD4" w:rsidRPr="00770261" w:rsidRDefault="0033402A" w:rsidP="00D80B69">
      <w:pPr>
        <w:pStyle w:val="Unternehmenkommunikation"/>
        <w:jc w:val="left"/>
        <w:rPr>
          <w:lang w:val="en-GB"/>
        </w:rPr>
      </w:pPr>
      <w:r w:rsidRPr="00770261">
        <w:rPr>
          <w:lang w:val="en-GB"/>
        </w:rPr>
        <w:t>Corporate Communications</w:t>
      </w:r>
    </w:p>
    <w:p w14:paraId="287BC080" w14:textId="77777777" w:rsidR="009E3CD4" w:rsidRPr="008E3C61" w:rsidRDefault="009E3CD4" w:rsidP="00D80B69">
      <w:pPr>
        <w:pStyle w:val="Unternehmenkommunikation"/>
        <w:jc w:val="left"/>
      </w:pPr>
      <w:r w:rsidRPr="00770261">
        <w:rPr>
          <w:lang w:val="en-GB"/>
        </w:rPr>
        <w:t>Dr. Carola Hilbrand</w:t>
      </w:r>
      <w:r w:rsidRPr="00770261">
        <w:rPr>
          <w:lang w:val="en-GB"/>
        </w:rPr>
        <w:tab/>
        <w:t xml:space="preserve">Rittal GmbH &amp; Co. </w:t>
      </w:r>
      <w:r w:rsidRPr="008E3C61">
        <w:t>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239C6796" w:rsidR="009E3CD4" w:rsidRPr="00770261" w:rsidRDefault="009E3CD4" w:rsidP="00D80B69">
      <w:pPr>
        <w:pStyle w:val="Unternehmenkommunikation"/>
        <w:jc w:val="left"/>
        <w:rPr>
          <w:color w:val="auto"/>
        </w:rPr>
      </w:pPr>
      <w:r>
        <w:t>hilbrand</w:t>
      </w:r>
      <w:r w:rsidRPr="00681C6A">
        <w:t>.</w:t>
      </w:r>
      <w:r>
        <w:t>c</w:t>
      </w:r>
      <w:r w:rsidRPr="00681C6A">
        <w:t>@rittal.de</w:t>
      </w:r>
      <w:r w:rsidRPr="00681C6A">
        <w:tab/>
      </w:r>
      <w:hyperlink r:id="rId13" w:history="1">
        <w:r w:rsidR="00F94098" w:rsidRPr="00770261">
          <w:rPr>
            <w:rStyle w:val="Hyperlink"/>
            <w:color w:val="auto"/>
            <w:u w:val="none"/>
          </w:rPr>
          <w:t>www.rittal.com</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39763639" w14:textId="53E24E0D" w:rsidR="00A73C13" w:rsidRPr="00770261" w:rsidRDefault="001E046B" w:rsidP="00770261">
      <w:pPr>
        <w:pStyle w:val="Unternehmensportrait"/>
        <w:jc w:val="left"/>
        <w:rPr>
          <w:noProof/>
          <w:spacing w:val="-4"/>
        </w:rPr>
      </w:pPr>
      <w:r>
        <w:rPr>
          <w:noProof/>
        </w:rPr>
        <w:drawing>
          <wp:anchor distT="0" distB="0" distL="114300" distR="114300" simplePos="0" relativeHeight="251658240"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626301204"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4"/>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r>
      <w:r w:rsidR="0067568A">
        <w:rPr>
          <w:noProof/>
          <w:spacing w:val="-4"/>
        </w:rPr>
        <w:t>Follow us</w:t>
      </w:r>
      <w:r>
        <w:rPr>
          <w:noProof/>
          <w:spacing w:val="-4"/>
        </w:rPr>
        <w:t xml:space="preserve">: </w:t>
      </w:r>
    </w:p>
    <w:sectPr w:rsidR="00A73C13" w:rsidRPr="00770261" w:rsidSect="00F11D1D">
      <w:headerReference w:type="default" r:id="rId15"/>
      <w:footerReference w:type="default" r:id="rId16"/>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71015" w14:textId="77777777" w:rsidR="00FC6D23" w:rsidRDefault="00FC6D23" w:rsidP="00C437B6">
      <w:r>
        <w:separator/>
      </w:r>
    </w:p>
  </w:endnote>
  <w:endnote w:type="continuationSeparator" w:id="0">
    <w:p w14:paraId="7EAB4171" w14:textId="77777777" w:rsidR="00FC6D23" w:rsidRDefault="00FC6D23" w:rsidP="00C437B6">
      <w:r>
        <w:continuationSeparator/>
      </w:r>
    </w:p>
  </w:endnote>
  <w:endnote w:type="continuationNotice" w:id="1">
    <w:p w14:paraId="18FE759F" w14:textId="77777777" w:rsidR="005E4C7F" w:rsidRDefault="005E4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6C5208F2" w:rsidR="00202595" w:rsidRDefault="00B53034">
    <w:pPr>
      <w:pStyle w:val="Fuzeile"/>
    </w:pPr>
    <w:r w:rsidRPr="006270D1">
      <w:rPr>
        <w:noProof/>
      </w:rPr>
      <w:drawing>
        <wp:anchor distT="0" distB="0" distL="0" distR="0" simplePos="0" relativeHeight="251658241" behindDoc="0" locked="0" layoutInCell="1" allowOverlap="0" wp14:anchorId="370ED1DB" wp14:editId="5CD92332">
          <wp:simplePos x="0" y="0"/>
          <wp:positionH relativeFrom="margin">
            <wp:posOffset>-967740</wp:posOffset>
          </wp:positionH>
          <wp:positionV relativeFrom="topMargin">
            <wp:posOffset>9783584</wp:posOffset>
          </wp:positionV>
          <wp:extent cx="7773670" cy="182880"/>
          <wp:effectExtent l="0" t="0" r="0" b="0"/>
          <wp:wrapThrough wrapText="bothSides">
            <wp:wrapPolygon edited="0">
              <wp:start x="0" y="0"/>
              <wp:lineTo x="0" y="19500"/>
              <wp:lineTo x="21561" y="19500"/>
              <wp:lineTo x="21561" y="0"/>
              <wp:lineTo x="0" y="0"/>
            </wp:wrapPolygon>
          </wp:wrapThrough>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6"/>
                  <pic:cNvPicPr/>
                </pic:nvPicPr>
                <pic:blipFill>
                  <a:blip r:embed="rId1"/>
                  <a:stretch>
                    <a:fillRect/>
                  </a:stretch>
                </pic:blipFill>
                <pic:spPr>
                  <a:xfrm>
                    <a:off x="0" y="0"/>
                    <a:ext cx="7773670" cy="182880"/>
                  </a:xfrm>
                  <a:prstGeom prst="rect">
                    <a:avLst/>
                  </a:prstGeom>
                </pic:spPr>
              </pic:pic>
            </a:graphicData>
          </a:graphic>
          <wp14:sizeRelV relativeFrom="margin">
            <wp14:pctHeight>0</wp14:pctHeight>
          </wp14:sizeRelV>
        </wp:anchor>
      </w:drawing>
    </w:r>
    <w:r>
      <w:rPr>
        <w:noProof/>
        <w:szCs w:val="20"/>
      </w:rPr>
      <w:drawing>
        <wp:anchor distT="0" distB="0" distL="114300" distR="114300" simplePos="0" relativeHeight="251658242" behindDoc="1" locked="0" layoutInCell="1" allowOverlap="1" wp14:anchorId="6347FF42" wp14:editId="222E1FC1">
          <wp:simplePos x="0" y="0"/>
          <wp:positionH relativeFrom="page">
            <wp:posOffset>866140</wp:posOffset>
          </wp:positionH>
          <wp:positionV relativeFrom="page">
            <wp:posOffset>10275431</wp:posOffset>
          </wp:positionV>
          <wp:extent cx="1767840" cy="93345"/>
          <wp:effectExtent l="0" t="0" r="0" b="0"/>
          <wp:wrapNone/>
          <wp:docPr id="18" name="Grafik 1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B74AB" w14:textId="77777777" w:rsidR="00FC6D23" w:rsidRDefault="00FC6D23" w:rsidP="00C437B6">
      <w:r>
        <w:separator/>
      </w:r>
    </w:p>
  </w:footnote>
  <w:footnote w:type="continuationSeparator" w:id="0">
    <w:p w14:paraId="0AAF05DD" w14:textId="77777777" w:rsidR="00FC6D23" w:rsidRDefault="00FC6D23" w:rsidP="00C437B6">
      <w:r>
        <w:continuationSeparator/>
      </w:r>
    </w:p>
  </w:footnote>
  <w:footnote w:type="continuationNotice" w:id="1">
    <w:p w14:paraId="106F9C73" w14:textId="77777777" w:rsidR="005E4C7F" w:rsidRDefault="005E4C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2BAB7FF6" w:rsidR="00202595" w:rsidRDefault="00554BF7">
    <w:pPr>
      <w:kinsoku w:val="0"/>
      <w:overflowPunct w:val="0"/>
      <w:spacing w:line="14" w:lineRule="auto"/>
      <w:rPr>
        <w:rFonts w:ascii="Times New Roman" w:hAnsi="Times New Roman" w:cs="Times New Roman"/>
        <w:sz w:val="20"/>
        <w:szCs w:val="20"/>
      </w:rPr>
    </w:pPr>
    <w:r>
      <w:rPr>
        <w:rFonts w:ascii="Times New Roman" w:hAnsi="Times New Roman" w:cs="Times New Roman"/>
        <w:noProof/>
        <w:sz w:val="24"/>
        <w:szCs w:val="24"/>
      </w:rPr>
      <mc:AlternateContent>
        <mc:Choice Requires="wps">
          <w:drawing>
            <wp:anchor distT="0" distB="0" distL="114300" distR="114300" simplePos="0" relativeHeight="251660291" behindDoc="0" locked="0" layoutInCell="1" allowOverlap="1" wp14:anchorId="59671793" wp14:editId="4D8E3F53">
              <wp:simplePos x="0" y="0"/>
              <wp:positionH relativeFrom="margin">
                <wp:align>left</wp:align>
              </wp:positionH>
              <wp:positionV relativeFrom="paragraph">
                <wp:posOffset>460223</wp:posOffset>
              </wp:positionV>
              <wp:extent cx="3689350" cy="508635"/>
              <wp:effectExtent l="0" t="0" r="25400" b="24765"/>
              <wp:wrapNone/>
              <wp:docPr id="2" name="Textfeld 2"/>
              <wp:cNvGraphicFramePr/>
              <a:graphic xmlns:a="http://schemas.openxmlformats.org/drawingml/2006/main">
                <a:graphicData uri="http://schemas.microsoft.com/office/word/2010/wordprocessingShape">
                  <wps:wsp>
                    <wps:cNvSpPr txBox="1"/>
                    <wps:spPr>
                      <a:xfrm>
                        <a:off x="0" y="0"/>
                        <a:ext cx="3689350" cy="508635"/>
                      </a:xfrm>
                      <a:prstGeom prst="rect">
                        <a:avLst/>
                      </a:prstGeom>
                      <a:solidFill>
                        <a:schemeClr val="lt1"/>
                      </a:solidFill>
                      <a:ln w="6350">
                        <a:solidFill>
                          <a:prstClr val="black"/>
                        </a:solidFill>
                      </a:ln>
                    </wps:spPr>
                    <wps:txbx>
                      <w:txbxContent>
                        <w:p w14:paraId="63004A67" w14:textId="77777777" w:rsidR="00554BF7" w:rsidRPr="00554BF7" w:rsidRDefault="00554BF7" w:rsidP="00554BF7">
                          <w:pPr>
                            <w:rPr>
                              <w:lang w:val="en-US"/>
                            </w:rPr>
                          </w:pPr>
                          <w:r w:rsidRPr="00554BF7">
                            <w:rPr>
                              <w:lang w:val="en-US"/>
                            </w:rPr>
                            <w:t>Rittal, Eplan, Cideon und German Edge Cloud at</w:t>
                          </w:r>
                        </w:p>
                        <w:p w14:paraId="1D332FC1" w14:textId="77777777" w:rsidR="00554BF7" w:rsidRDefault="00554BF7" w:rsidP="00554BF7">
                          <w:r>
                            <w:t xml:space="preserve">Hannover Messe 2024, Hall 11, Booth E6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9671793" id="_x0000_t202" coordsize="21600,21600" o:spt="202" path="m,l,21600r21600,l21600,xe">
              <v:stroke joinstyle="miter"/>
              <v:path gradientshapeok="t" o:connecttype="rect"/>
            </v:shapetype>
            <v:shape id="Textfeld 2" o:spid="_x0000_s1026" type="#_x0000_t202" style="position:absolute;margin-left:0;margin-top:36.25pt;width:290.5pt;height:40.05pt;z-index:25166029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" fillcolor="white [3201]" strokeweight=".5pt">
              <v:textbox>
                <w:txbxContent>
                  <w:p w14:paraId="63004A67" w14:textId="77777777" w:rsidR="00554BF7" w:rsidRPr="00554BF7" w:rsidRDefault="00554BF7" w:rsidP="00554BF7">
                    <w:pPr>
                      <w:rPr>
                        <w:lang w:val="en-US"/>
                      </w:rPr>
                    </w:pPr>
                    <w:r w:rsidRPr="00554BF7">
                      <w:rPr>
                        <w:lang w:val="en-US"/>
                      </w:rPr>
                      <w:t>Rittal, Eplan, Cideon und German Edge Cloud at</w:t>
                    </w:r>
                  </w:p>
                  <w:p w14:paraId="1D332FC1" w14:textId="77777777" w:rsidR="00554BF7" w:rsidRDefault="00554BF7" w:rsidP="00554BF7">
                    <w:r>
                      <w:t xml:space="preserve">Hannover Messe 2024, Hall 11, Booth E6 </w:t>
                    </w:r>
                  </w:p>
                </w:txbxContent>
              </v:textbox>
              <w10:wrap anchorx="margin"/>
            </v:shape>
          </w:pict>
        </mc:Fallback>
      </mc:AlternateContent>
    </w:r>
    <w:r w:rsidR="0011102D"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127DD8DE">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5E5F32">
      <w:rPr>
        <w:noProof/>
        <w:sz w:val="16"/>
        <w:szCs w:val="16"/>
      </w:rPr>
      <mc:AlternateContent>
        <mc:Choice Requires="wps">
          <w:drawing>
            <wp:anchor distT="0" distB="0" distL="114300" distR="114300" simplePos="0" relativeHeight="251658243" behindDoc="1" locked="0" layoutInCell="0" allowOverlap="1" wp14:anchorId="00F58628" wp14:editId="01004661">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58628" id="Textfeld 1" o:spid="_x0000_s1027" type="#_x0000_t202" style="position:absolute;margin-left:68.05pt;margin-top:35.4pt;width:117pt;height:27.7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2BCEE4E0"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1229267703">
    <w:abstractNumId w:val="10"/>
  </w:num>
  <w:num w:numId="2" w16cid:durableId="293490874">
    <w:abstractNumId w:val="9"/>
  </w:num>
  <w:num w:numId="3" w16cid:durableId="1325206373">
    <w:abstractNumId w:val="7"/>
  </w:num>
  <w:num w:numId="4" w16cid:durableId="2022585246">
    <w:abstractNumId w:val="6"/>
  </w:num>
  <w:num w:numId="5" w16cid:durableId="420103410">
    <w:abstractNumId w:val="5"/>
  </w:num>
  <w:num w:numId="6" w16cid:durableId="1481077724">
    <w:abstractNumId w:val="4"/>
  </w:num>
  <w:num w:numId="7" w16cid:durableId="2045325972">
    <w:abstractNumId w:val="8"/>
  </w:num>
  <w:num w:numId="8" w16cid:durableId="563295470">
    <w:abstractNumId w:val="3"/>
  </w:num>
  <w:num w:numId="9" w16cid:durableId="139226591">
    <w:abstractNumId w:val="2"/>
  </w:num>
  <w:num w:numId="10" w16cid:durableId="772629355">
    <w:abstractNumId w:val="1"/>
  </w:num>
  <w:num w:numId="11" w16cid:durableId="1129786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hideGrammaticalErrors/>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229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22489"/>
    <w:rsid w:val="00027B50"/>
    <w:rsid w:val="00034685"/>
    <w:rsid w:val="00037FD6"/>
    <w:rsid w:val="00047B15"/>
    <w:rsid w:val="00052DD2"/>
    <w:rsid w:val="00080930"/>
    <w:rsid w:val="000902CE"/>
    <w:rsid w:val="000E7A2C"/>
    <w:rsid w:val="0011102D"/>
    <w:rsid w:val="00114302"/>
    <w:rsid w:val="00145F70"/>
    <w:rsid w:val="001519D2"/>
    <w:rsid w:val="001926CE"/>
    <w:rsid w:val="001B189F"/>
    <w:rsid w:val="001B7268"/>
    <w:rsid w:val="001D555B"/>
    <w:rsid w:val="001D6722"/>
    <w:rsid w:val="001E046B"/>
    <w:rsid w:val="001E78D8"/>
    <w:rsid w:val="002016FD"/>
    <w:rsid w:val="00202595"/>
    <w:rsid w:val="0023718F"/>
    <w:rsid w:val="00274BBB"/>
    <w:rsid w:val="002C00E6"/>
    <w:rsid w:val="002C6615"/>
    <w:rsid w:val="002D2830"/>
    <w:rsid w:val="002E1F7F"/>
    <w:rsid w:val="0030636B"/>
    <w:rsid w:val="0031514E"/>
    <w:rsid w:val="00326B0F"/>
    <w:rsid w:val="0033402A"/>
    <w:rsid w:val="00367B14"/>
    <w:rsid w:val="00397E80"/>
    <w:rsid w:val="003A7EAF"/>
    <w:rsid w:val="003B12EF"/>
    <w:rsid w:val="003B413C"/>
    <w:rsid w:val="003C464D"/>
    <w:rsid w:val="00424077"/>
    <w:rsid w:val="0042557E"/>
    <w:rsid w:val="004305EE"/>
    <w:rsid w:val="00445DA2"/>
    <w:rsid w:val="00454741"/>
    <w:rsid w:val="00455B4F"/>
    <w:rsid w:val="00456F1A"/>
    <w:rsid w:val="004643E3"/>
    <w:rsid w:val="004819A6"/>
    <w:rsid w:val="004839D0"/>
    <w:rsid w:val="004845A9"/>
    <w:rsid w:val="004860F9"/>
    <w:rsid w:val="00486A98"/>
    <w:rsid w:val="004D56BD"/>
    <w:rsid w:val="004F229F"/>
    <w:rsid w:val="00512F78"/>
    <w:rsid w:val="00513BB5"/>
    <w:rsid w:val="00542350"/>
    <w:rsid w:val="005467FA"/>
    <w:rsid w:val="0055018D"/>
    <w:rsid w:val="00554BF7"/>
    <w:rsid w:val="00556081"/>
    <w:rsid w:val="0057573C"/>
    <w:rsid w:val="00584C14"/>
    <w:rsid w:val="005D33D3"/>
    <w:rsid w:val="005D7486"/>
    <w:rsid w:val="005E4C7F"/>
    <w:rsid w:val="005E5F32"/>
    <w:rsid w:val="005F47D3"/>
    <w:rsid w:val="00613397"/>
    <w:rsid w:val="006270D1"/>
    <w:rsid w:val="006467B0"/>
    <w:rsid w:val="00650E38"/>
    <w:rsid w:val="00654F16"/>
    <w:rsid w:val="0067568A"/>
    <w:rsid w:val="00681C6A"/>
    <w:rsid w:val="006A1140"/>
    <w:rsid w:val="006A2213"/>
    <w:rsid w:val="006A2940"/>
    <w:rsid w:val="006B4C45"/>
    <w:rsid w:val="006C0224"/>
    <w:rsid w:val="006C2B8D"/>
    <w:rsid w:val="006C6990"/>
    <w:rsid w:val="006C7EF7"/>
    <w:rsid w:val="006D5EAA"/>
    <w:rsid w:val="006E6B91"/>
    <w:rsid w:val="00701182"/>
    <w:rsid w:val="007315EA"/>
    <w:rsid w:val="007379AB"/>
    <w:rsid w:val="007568B6"/>
    <w:rsid w:val="00760BC1"/>
    <w:rsid w:val="00770261"/>
    <w:rsid w:val="007841CC"/>
    <w:rsid w:val="007C2C27"/>
    <w:rsid w:val="007D60A7"/>
    <w:rsid w:val="007D7AE2"/>
    <w:rsid w:val="00801528"/>
    <w:rsid w:val="00805E8F"/>
    <w:rsid w:val="00886E96"/>
    <w:rsid w:val="00895E52"/>
    <w:rsid w:val="008F4796"/>
    <w:rsid w:val="009058E3"/>
    <w:rsid w:val="00947C4F"/>
    <w:rsid w:val="00957B25"/>
    <w:rsid w:val="00996B25"/>
    <w:rsid w:val="009A0F9D"/>
    <w:rsid w:val="009D411D"/>
    <w:rsid w:val="009D709C"/>
    <w:rsid w:val="009E0DC3"/>
    <w:rsid w:val="009E3CD4"/>
    <w:rsid w:val="009E4D10"/>
    <w:rsid w:val="009F3123"/>
    <w:rsid w:val="00A0608C"/>
    <w:rsid w:val="00A23870"/>
    <w:rsid w:val="00A37B28"/>
    <w:rsid w:val="00A51035"/>
    <w:rsid w:val="00A51E5F"/>
    <w:rsid w:val="00A66242"/>
    <w:rsid w:val="00A71BED"/>
    <w:rsid w:val="00A73C13"/>
    <w:rsid w:val="00A90FC3"/>
    <w:rsid w:val="00AA6300"/>
    <w:rsid w:val="00AA6A2B"/>
    <w:rsid w:val="00AC391D"/>
    <w:rsid w:val="00AD5C77"/>
    <w:rsid w:val="00B25A1D"/>
    <w:rsid w:val="00B317B0"/>
    <w:rsid w:val="00B42CC3"/>
    <w:rsid w:val="00B5087C"/>
    <w:rsid w:val="00B53034"/>
    <w:rsid w:val="00B70890"/>
    <w:rsid w:val="00B75E7A"/>
    <w:rsid w:val="00B8089B"/>
    <w:rsid w:val="00B921A4"/>
    <w:rsid w:val="00B9325B"/>
    <w:rsid w:val="00BD1E6B"/>
    <w:rsid w:val="00C0410E"/>
    <w:rsid w:val="00C40907"/>
    <w:rsid w:val="00C437B6"/>
    <w:rsid w:val="00C707D4"/>
    <w:rsid w:val="00C7714F"/>
    <w:rsid w:val="00C85246"/>
    <w:rsid w:val="00C933FC"/>
    <w:rsid w:val="00C9738B"/>
    <w:rsid w:val="00CA28D3"/>
    <w:rsid w:val="00CB1B61"/>
    <w:rsid w:val="00CC229D"/>
    <w:rsid w:val="00CC3274"/>
    <w:rsid w:val="00CC57AA"/>
    <w:rsid w:val="00CD7C6C"/>
    <w:rsid w:val="00CF7702"/>
    <w:rsid w:val="00D02577"/>
    <w:rsid w:val="00D02D5B"/>
    <w:rsid w:val="00D0666B"/>
    <w:rsid w:val="00D109A1"/>
    <w:rsid w:val="00D205F9"/>
    <w:rsid w:val="00D2409E"/>
    <w:rsid w:val="00D80B69"/>
    <w:rsid w:val="00D92FEF"/>
    <w:rsid w:val="00DA0AC1"/>
    <w:rsid w:val="00DA78A6"/>
    <w:rsid w:val="00DC7953"/>
    <w:rsid w:val="00DC7BEC"/>
    <w:rsid w:val="00DD48DF"/>
    <w:rsid w:val="00DF3CF6"/>
    <w:rsid w:val="00E02D8D"/>
    <w:rsid w:val="00E4364C"/>
    <w:rsid w:val="00E43B92"/>
    <w:rsid w:val="00E43F33"/>
    <w:rsid w:val="00E46942"/>
    <w:rsid w:val="00EB1ED8"/>
    <w:rsid w:val="00ED3D20"/>
    <w:rsid w:val="00EE2E8D"/>
    <w:rsid w:val="00EE437A"/>
    <w:rsid w:val="00F11D1D"/>
    <w:rsid w:val="00F24AD9"/>
    <w:rsid w:val="00F34793"/>
    <w:rsid w:val="00F46C85"/>
    <w:rsid w:val="00F53B77"/>
    <w:rsid w:val="00F56180"/>
    <w:rsid w:val="00F61379"/>
    <w:rsid w:val="00F90E37"/>
    <w:rsid w:val="00F94098"/>
    <w:rsid w:val="00FB1403"/>
    <w:rsid w:val="00FC3A8C"/>
    <w:rsid w:val="00FC6D23"/>
    <w:rsid w:val="00FD4CFC"/>
    <w:rsid w:val="00FE5478"/>
    <w:rsid w:val="00FF5CE2"/>
    <w:rsid w:val="00FF67D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14:docId w14:val="39EF2DCC"/>
  <w15:docId w15:val="{A35DFF6D-235C-4D31-B6C7-15B476809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Default">
    <w:name w:val="Default"/>
    <w:rsid w:val="00542350"/>
    <w:pPr>
      <w:autoSpaceDE w:val="0"/>
      <w:autoSpaceDN w:val="0"/>
      <w:adjustRightInd w:val="0"/>
      <w:spacing w:after="0" w:line="240" w:lineRule="auto"/>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542350"/>
    <w:rPr>
      <w:color w:val="605E5C"/>
      <w:shd w:val="clear" w:color="auto" w:fill="E1DFDD"/>
    </w:rPr>
  </w:style>
  <w:style w:type="character" w:styleId="BesuchterLink">
    <w:name w:val="FollowedHyperlink"/>
    <w:basedOn w:val="Absatz-Standardschriftart"/>
    <w:uiPriority w:val="99"/>
    <w:semiHidden/>
    <w:unhideWhenUsed/>
    <w:rsid w:val="00A37B28"/>
    <w:rPr>
      <w:color w:val="800080" w:themeColor="followedHyperlink"/>
      <w:u w:val="single"/>
    </w:rPr>
  </w:style>
  <w:style w:type="character" w:styleId="Kommentarzeichen">
    <w:name w:val="annotation reference"/>
    <w:basedOn w:val="Absatz-Standardschriftart"/>
    <w:uiPriority w:val="99"/>
    <w:semiHidden/>
    <w:unhideWhenUsed/>
    <w:rsid w:val="006B4C45"/>
    <w:rPr>
      <w:sz w:val="16"/>
      <w:szCs w:val="16"/>
    </w:rPr>
  </w:style>
  <w:style w:type="paragraph" w:styleId="Kommentartext">
    <w:name w:val="annotation text"/>
    <w:basedOn w:val="Standard"/>
    <w:link w:val="KommentartextZchn"/>
    <w:uiPriority w:val="99"/>
    <w:unhideWhenUsed/>
    <w:rsid w:val="006B4C45"/>
    <w:rPr>
      <w:sz w:val="20"/>
      <w:szCs w:val="20"/>
    </w:rPr>
  </w:style>
  <w:style w:type="character" w:customStyle="1" w:styleId="KommentartextZchn">
    <w:name w:val="Kommentartext Zchn"/>
    <w:basedOn w:val="Absatz-Standardschriftart"/>
    <w:link w:val="Kommentartext"/>
    <w:uiPriority w:val="99"/>
    <w:rsid w:val="006B4C45"/>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4C45"/>
    <w:rPr>
      <w:b/>
      <w:bCs/>
    </w:rPr>
  </w:style>
  <w:style w:type="character" w:customStyle="1" w:styleId="KommentarthemaZchn">
    <w:name w:val="Kommentarthema Zchn"/>
    <w:basedOn w:val="KommentartextZchn"/>
    <w:link w:val="Kommentarthema"/>
    <w:uiPriority w:val="99"/>
    <w:semiHidden/>
    <w:rsid w:val="006B4C4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ritta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riedhelm-loh-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ttal.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0CBB7-DDFC-448C-A810-85954898853D}">
  <ds:schemaRefs>
    <ds:schemaRef ds:uri="http://schemas.openxmlformats.org/officeDocument/2006/bibliography"/>
  </ds:schemaRefs>
</ds:datastoreItem>
</file>

<file path=customXml/itemProps2.xml><?xml version="1.0" encoding="utf-8"?>
<ds:datastoreItem xmlns:ds="http://schemas.openxmlformats.org/officeDocument/2006/customXml" ds:itemID="{DC168465-5142-4575-97B8-7E30995F0A34}">
  <ds:schemaRefs>
    <ds:schemaRef ds:uri="http://schemas.microsoft.com/sharepoint/v3/contenttype/forms"/>
  </ds:schemaRefs>
</ds:datastoreItem>
</file>

<file path=customXml/itemProps3.xml><?xml version="1.0" encoding="utf-8"?>
<ds:datastoreItem xmlns:ds="http://schemas.openxmlformats.org/officeDocument/2006/customXml" ds:itemID="{87B49EC0-53D0-43CA-9387-54682B624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918</Words>
  <Characters>5487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ideaPad1</dc:creator>
  <cp:lastModifiedBy>Jannick Bangard</cp:lastModifiedBy>
  <cp:revision>6</cp:revision>
  <cp:lastPrinted>2024-01-28T14:20:00Z</cp:lastPrinted>
  <dcterms:created xsi:type="dcterms:W3CDTF">2024-04-18T12:23:00Z</dcterms:created>
  <dcterms:modified xsi:type="dcterms:W3CDTF">2024-04-19T08:35:00Z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ies>
</file>